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21ED" w14:textId="42D1C8FF" w:rsidR="00665FD9" w:rsidRDefault="00D03361" w:rsidP="0035741F">
      <w:pPr>
        <w:jc w:val="both"/>
        <w:rPr>
          <w:rFonts w:ascii="Calibri" w:hAnsi="Calibri" w:cs="Arial"/>
          <w:b/>
          <w:bCs/>
          <w:sz w:val="48"/>
          <w:szCs w:val="48"/>
          <w:lang w:val="de-DE"/>
        </w:rPr>
      </w:pPr>
      <w:r>
        <w:rPr>
          <w:rFonts w:ascii="Calibri" w:hAnsi="Calibri" w:cs="Arial"/>
          <w:b/>
          <w:bCs/>
          <w:sz w:val="48"/>
          <w:szCs w:val="48"/>
          <w:lang w:val="de-DE"/>
        </w:rPr>
        <w:t>S</w:t>
      </w:r>
      <w:r w:rsidR="00A47A39" w:rsidRPr="00665FD9">
        <w:rPr>
          <w:rFonts w:ascii="Calibri" w:hAnsi="Calibri" w:cs="Arial"/>
          <w:b/>
          <w:bCs/>
          <w:sz w:val="48"/>
          <w:szCs w:val="48"/>
          <w:lang w:val="de-DE"/>
        </w:rPr>
        <w:t>trategische Ausrichtung</w:t>
      </w:r>
      <w:r w:rsidR="00665FD9">
        <w:rPr>
          <w:rFonts w:ascii="Calibri" w:hAnsi="Calibri" w:cs="Arial"/>
          <w:b/>
          <w:bCs/>
          <w:sz w:val="48"/>
          <w:szCs w:val="48"/>
          <w:lang w:val="de-DE"/>
        </w:rPr>
        <w:t xml:space="preserve"> </w:t>
      </w:r>
      <w:r>
        <w:rPr>
          <w:rFonts w:ascii="Calibri" w:hAnsi="Calibri" w:cs="Arial"/>
          <w:b/>
          <w:bCs/>
          <w:sz w:val="48"/>
          <w:szCs w:val="48"/>
          <w:lang w:val="de-DE"/>
        </w:rPr>
        <w:t>und Wirkungsziele</w:t>
      </w:r>
    </w:p>
    <w:p w14:paraId="2FB55F5C" w14:textId="77777777" w:rsidR="00665FD9" w:rsidRPr="00665FD9" w:rsidRDefault="00665FD9" w:rsidP="0035741F">
      <w:pPr>
        <w:jc w:val="both"/>
        <w:rPr>
          <w:rFonts w:ascii="Calibri" w:hAnsi="Calibri" w:cs="Arial"/>
          <w:b/>
          <w:bCs/>
          <w:sz w:val="48"/>
          <w:szCs w:val="48"/>
          <w:lang w:val="de-DE"/>
        </w:rPr>
      </w:pPr>
      <w:r>
        <w:rPr>
          <w:rFonts w:ascii="Calibri" w:hAnsi="Calibri" w:cs="Arial"/>
          <w:b/>
          <w:bCs/>
          <w:sz w:val="48"/>
          <w:szCs w:val="48"/>
          <w:lang w:val="de-DE"/>
        </w:rPr>
        <w:t>des Technischen Museums Wien</w:t>
      </w:r>
    </w:p>
    <w:p w14:paraId="5C18133A" w14:textId="77777777" w:rsidR="00A47A39" w:rsidRPr="00F939A3" w:rsidRDefault="00A47A39" w:rsidP="0035741F">
      <w:pPr>
        <w:jc w:val="both"/>
        <w:outlineLvl w:val="1"/>
        <w:rPr>
          <w:rFonts w:ascii="Calibri" w:hAnsi="Calibri" w:cs="Calibri"/>
          <w:b/>
          <w:bCs/>
          <w:sz w:val="22"/>
          <w:szCs w:val="22"/>
          <w:lang w:eastAsia="de-AT"/>
        </w:rPr>
      </w:pPr>
    </w:p>
    <w:p w14:paraId="6A29FE40" w14:textId="04E643B8" w:rsidR="00A47A39" w:rsidRPr="00F939A3" w:rsidRDefault="00D03361" w:rsidP="0035741F">
      <w:pPr>
        <w:jc w:val="both"/>
        <w:outlineLvl w:val="1"/>
        <w:rPr>
          <w:rFonts w:ascii="Calibri" w:hAnsi="Calibri" w:cs="Calibri"/>
          <w:bCs/>
          <w:sz w:val="22"/>
          <w:szCs w:val="22"/>
          <w:lang w:eastAsia="de-AT"/>
        </w:rPr>
      </w:pPr>
      <w:r w:rsidRPr="00F939A3">
        <w:rPr>
          <w:rFonts w:ascii="Calibri" w:hAnsi="Calibri" w:cs="Calibri"/>
          <w:bCs/>
          <w:sz w:val="22"/>
          <w:szCs w:val="22"/>
          <w:lang w:eastAsia="de-AT"/>
        </w:rPr>
        <w:t>Der</w:t>
      </w:r>
      <w:r w:rsidR="00A47A39" w:rsidRPr="00F939A3">
        <w:rPr>
          <w:rFonts w:ascii="Calibri" w:hAnsi="Calibri" w:cs="Calibri"/>
          <w:bCs/>
          <w:sz w:val="22"/>
          <w:szCs w:val="22"/>
          <w:lang w:eastAsia="de-AT"/>
        </w:rPr>
        <w:t xml:space="preserve"> kulturpolitische Auftrag</w:t>
      </w:r>
      <w:r w:rsidRPr="00F939A3">
        <w:rPr>
          <w:rFonts w:ascii="Calibri" w:hAnsi="Calibri" w:cs="Calibri"/>
          <w:bCs/>
          <w:sz w:val="22"/>
          <w:szCs w:val="22"/>
          <w:lang w:eastAsia="de-AT"/>
        </w:rPr>
        <w:t xml:space="preserve"> des Technischen Museums Wien</w:t>
      </w:r>
      <w:r w:rsidR="00A47A39" w:rsidRPr="00F939A3">
        <w:rPr>
          <w:rFonts w:ascii="Calibri" w:hAnsi="Calibri" w:cs="Calibri"/>
          <w:bCs/>
          <w:sz w:val="22"/>
          <w:szCs w:val="22"/>
          <w:lang w:eastAsia="de-AT"/>
        </w:rPr>
        <w:t xml:space="preserve"> ist die öffentliche Reflexion von technisch-naturwissenschaftlichen Entwicklungen und ihren </w:t>
      </w:r>
      <w:r w:rsidR="00F939A3" w:rsidRPr="00F939A3">
        <w:rPr>
          <w:rFonts w:ascii="Calibri" w:hAnsi="Calibri" w:cs="Calibri"/>
          <w:bCs/>
          <w:sz w:val="22"/>
          <w:szCs w:val="22"/>
          <w:lang w:eastAsia="de-AT"/>
        </w:rPr>
        <w:t>zeitgenössischen</w:t>
      </w:r>
      <w:r w:rsidR="00A47A39" w:rsidRPr="00F939A3">
        <w:rPr>
          <w:rFonts w:ascii="Calibri" w:hAnsi="Calibri" w:cs="Calibri"/>
          <w:bCs/>
          <w:sz w:val="22"/>
          <w:szCs w:val="22"/>
          <w:lang w:eastAsia="de-AT"/>
        </w:rPr>
        <w:t xml:space="preserve"> gesellschaftspolitischen Auswir</w:t>
      </w:r>
      <w:r w:rsidR="007D6CE7">
        <w:rPr>
          <w:rFonts w:ascii="Calibri" w:hAnsi="Calibri" w:cs="Calibri"/>
          <w:bCs/>
          <w:sz w:val="22"/>
          <w:szCs w:val="22"/>
          <w:lang w:eastAsia="de-AT"/>
        </w:rPr>
        <w:softHyphen/>
      </w:r>
      <w:r w:rsidR="00A47A39" w:rsidRPr="00F939A3">
        <w:rPr>
          <w:rFonts w:ascii="Calibri" w:hAnsi="Calibri" w:cs="Calibri"/>
          <w:bCs/>
          <w:sz w:val="22"/>
          <w:szCs w:val="22"/>
          <w:lang w:eastAsia="de-AT"/>
        </w:rPr>
        <w:t xml:space="preserve">kungen. Mit der Österreichischen Mediathek </w:t>
      </w:r>
      <w:r w:rsidRPr="00F939A3">
        <w:rPr>
          <w:rFonts w:ascii="Calibri" w:hAnsi="Calibri" w:cs="Calibri"/>
          <w:bCs/>
          <w:sz w:val="22"/>
          <w:szCs w:val="22"/>
          <w:lang w:eastAsia="de-AT"/>
        </w:rPr>
        <w:t>wird</w:t>
      </w:r>
      <w:r w:rsidR="00A47A39" w:rsidRPr="00F939A3">
        <w:rPr>
          <w:rFonts w:ascii="Calibri" w:hAnsi="Calibri" w:cs="Calibri"/>
          <w:bCs/>
          <w:sz w:val="22"/>
          <w:szCs w:val="22"/>
          <w:lang w:eastAsia="de-AT"/>
        </w:rPr>
        <w:t xml:space="preserve"> das audiovisuelle Gedächtnis Österreichs</w:t>
      </w:r>
      <w:r w:rsidRPr="00F939A3">
        <w:rPr>
          <w:rFonts w:ascii="Calibri" w:hAnsi="Calibri" w:cs="Calibri"/>
          <w:bCs/>
          <w:sz w:val="22"/>
          <w:szCs w:val="22"/>
          <w:lang w:eastAsia="de-AT"/>
        </w:rPr>
        <w:t xml:space="preserve"> bewahrt</w:t>
      </w:r>
      <w:r w:rsidR="00A47A39" w:rsidRPr="00F939A3">
        <w:rPr>
          <w:rFonts w:ascii="Calibri" w:hAnsi="Calibri" w:cs="Calibri"/>
          <w:bCs/>
          <w:sz w:val="22"/>
          <w:szCs w:val="22"/>
          <w:lang w:eastAsia="de-AT"/>
        </w:rPr>
        <w:t>.</w:t>
      </w:r>
    </w:p>
    <w:p w14:paraId="680BBF67" w14:textId="77777777" w:rsidR="00665FD9" w:rsidRPr="00F939A3" w:rsidRDefault="00665FD9" w:rsidP="0035741F">
      <w:pPr>
        <w:jc w:val="both"/>
        <w:outlineLvl w:val="1"/>
        <w:rPr>
          <w:rFonts w:ascii="Calibri" w:hAnsi="Calibri" w:cs="Calibri"/>
          <w:sz w:val="22"/>
          <w:szCs w:val="22"/>
          <w:lang w:eastAsia="de-AT"/>
        </w:rPr>
      </w:pPr>
    </w:p>
    <w:p w14:paraId="25BAD0AD" w14:textId="61226AEE" w:rsidR="00A47A39" w:rsidRPr="00F939A3" w:rsidRDefault="00A47A39" w:rsidP="0035741F">
      <w:pPr>
        <w:jc w:val="both"/>
        <w:outlineLvl w:val="1"/>
        <w:rPr>
          <w:rFonts w:ascii="Calibri" w:hAnsi="Calibri" w:cs="Calibri"/>
          <w:sz w:val="22"/>
          <w:szCs w:val="22"/>
          <w:lang w:eastAsia="de-AT"/>
        </w:rPr>
      </w:pPr>
      <w:r w:rsidRPr="00F939A3">
        <w:rPr>
          <w:rFonts w:ascii="Calibri" w:hAnsi="Calibri" w:cs="Calibri"/>
          <w:sz w:val="22"/>
          <w:szCs w:val="22"/>
          <w:lang w:eastAsia="de-AT"/>
        </w:rPr>
        <w:t>An der Schnittstelle zwischen Vergangenheit und Zukunft lädt das Technische Museum Wien seine BesucherInnen ein, je nach Interesse und Alter unterschiedlichste Felder der Technik und Technik</w:t>
      </w:r>
      <w:r w:rsidR="002842C9">
        <w:rPr>
          <w:rFonts w:ascii="Calibri" w:hAnsi="Calibri" w:cs="Calibri"/>
          <w:sz w:val="22"/>
          <w:szCs w:val="22"/>
          <w:lang w:eastAsia="de-AT"/>
        </w:rPr>
        <w:softHyphen/>
      </w:r>
      <w:r w:rsidRPr="00F939A3">
        <w:rPr>
          <w:rFonts w:ascii="Calibri" w:hAnsi="Calibri" w:cs="Calibri"/>
          <w:sz w:val="22"/>
          <w:szCs w:val="22"/>
          <w:lang w:eastAsia="de-AT"/>
        </w:rPr>
        <w:t>geschichte kennenzulernen, zu erleben und darüber zu reflektieren.</w:t>
      </w:r>
      <w:r w:rsidRPr="00F939A3">
        <w:rPr>
          <w:rFonts w:ascii="Calibri" w:hAnsi="Calibri" w:cs="Calibri"/>
          <w:bCs/>
          <w:sz w:val="22"/>
          <w:szCs w:val="22"/>
          <w:lang w:eastAsia="de-AT"/>
        </w:rPr>
        <w:t xml:space="preserve"> Ziel ist die Ermutigung und Ermächtigung, zukünftige Entwicklungen aktiv mitzugestalten – dies gilt insbesondere für Kinder und Jugendliche.</w:t>
      </w:r>
      <w:r w:rsidRPr="00F939A3">
        <w:rPr>
          <w:rFonts w:ascii="Calibri" w:hAnsi="Calibri" w:cs="Calibri"/>
          <w:sz w:val="22"/>
          <w:szCs w:val="22"/>
          <w:lang w:eastAsia="de-AT"/>
        </w:rPr>
        <w:t xml:space="preserve"> Spielerische Formen der Wissensvermittlung machen ein sprichwörtliches Be-greifen von Technik möglich.</w:t>
      </w:r>
    </w:p>
    <w:p w14:paraId="77ADBA88" w14:textId="3FA1540C" w:rsidR="00D03361" w:rsidRPr="00F939A3" w:rsidRDefault="00D03361" w:rsidP="0035741F">
      <w:pPr>
        <w:jc w:val="both"/>
        <w:outlineLvl w:val="1"/>
        <w:rPr>
          <w:rFonts w:ascii="Calibri" w:hAnsi="Calibri" w:cs="Calibri"/>
          <w:bCs/>
          <w:sz w:val="22"/>
          <w:szCs w:val="22"/>
          <w:lang w:eastAsia="de-AT"/>
        </w:rPr>
      </w:pPr>
    </w:p>
    <w:p w14:paraId="0EA9C3B5" w14:textId="1B07ED2D" w:rsidR="00D03361" w:rsidRPr="00F939A3" w:rsidRDefault="00D03361" w:rsidP="0035741F">
      <w:pPr>
        <w:jc w:val="both"/>
        <w:rPr>
          <w:rFonts w:ascii="Calibri" w:hAnsi="Calibri" w:cs="Calibri"/>
          <w:bCs/>
          <w:sz w:val="22"/>
          <w:szCs w:val="22"/>
          <w:lang w:eastAsia="de-AT"/>
        </w:rPr>
      </w:pPr>
      <w:r w:rsidRPr="00F939A3">
        <w:rPr>
          <w:rFonts w:ascii="Calibri" w:hAnsi="Calibri" w:cs="Calibri"/>
          <w:bCs/>
          <w:sz w:val="22"/>
          <w:szCs w:val="22"/>
          <w:lang w:eastAsia="de-AT"/>
        </w:rPr>
        <w:t>Als größtes österreichisches Technikmuseum versteht sich das Technische Museum Wien als sozialer Lern- und Diskursort, der eine Brücke zwischen Wissenschaft, Bildung, Wirtschaft und Gesellschaft schlägt. Um zukunftsweisend und gesellschaftlich wirksam zu agieren, ist die Arbeit des Museums von den folgenden Wirkungszielen geleitet:</w:t>
      </w:r>
    </w:p>
    <w:p w14:paraId="2B2232E4" w14:textId="52B897F0" w:rsidR="00D03361" w:rsidRPr="00F939A3" w:rsidRDefault="00D03361" w:rsidP="0035741F">
      <w:pPr>
        <w:jc w:val="both"/>
        <w:outlineLvl w:val="1"/>
        <w:rPr>
          <w:rFonts w:ascii="Calibri" w:hAnsi="Calibri" w:cs="Calibri"/>
          <w:bCs/>
          <w:sz w:val="22"/>
          <w:szCs w:val="22"/>
          <w:lang w:eastAsia="de-AT"/>
        </w:rPr>
      </w:pPr>
    </w:p>
    <w:p w14:paraId="14DAB06C" w14:textId="75C5F7CA" w:rsidR="007A3FFD" w:rsidRPr="00F939A3" w:rsidRDefault="00D03361" w:rsidP="0035741F">
      <w:pPr>
        <w:pStyle w:val="Listenabsatz"/>
        <w:spacing w:after="0" w:line="240" w:lineRule="auto"/>
        <w:ind w:left="0"/>
        <w:jc w:val="both"/>
        <w:rPr>
          <w:rFonts w:ascii="Calibri" w:eastAsia="Times New Roman" w:hAnsi="Calibri" w:cs="Calibri"/>
          <w:b/>
          <w:lang w:val="de-AT" w:eastAsia="de-AT"/>
        </w:rPr>
      </w:pPr>
      <w:r w:rsidRPr="00F939A3">
        <w:rPr>
          <w:rFonts w:ascii="Calibri" w:eastAsia="Times New Roman" w:hAnsi="Calibri" w:cs="Calibri"/>
          <w:b/>
          <w:lang w:val="de-AT" w:eastAsia="de-AT"/>
        </w:rPr>
        <w:t>Nachhaltigkeit/SDGs</w:t>
      </w:r>
    </w:p>
    <w:p w14:paraId="4236820F" w14:textId="2BACE9B5" w:rsidR="00F939A3" w:rsidRDefault="006537B6" w:rsidP="0035741F">
      <w:pPr>
        <w:jc w:val="both"/>
        <w:rPr>
          <w:rFonts w:ascii="Calibri" w:hAnsi="Calibri" w:cs="Calibri"/>
          <w:bCs/>
          <w:sz w:val="22"/>
          <w:szCs w:val="22"/>
          <w:lang w:eastAsia="de-AT"/>
        </w:rPr>
      </w:pPr>
      <w:r w:rsidRPr="00F939A3">
        <w:rPr>
          <w:rFonts w:ascii="Calibri" w:hAnsi="Calibri" w:cs="Calibri"/>
          <w:bCs/>
          <w:sz w:val="22"/>
          <w:szCs w:val="22"/>
          <w:lang w:eastAsia="de-AT"/>
        </w:rPr>
        <w:t>Um den großen Herausforderungen unserer Zeit zu begegnen, wollen wir unsere BesucherInnen an</w:t>
      </w:r>
      <w:r w:rsidR="002842C9">
        <w:rPr>
          <w:rFonts w:ascii="Calibri" w:hAnsi="Calibri" w:cs="Calibri"/>
          <w:bCs/>
          <w:sz w:val="22"/>
          <w:szCs w:val="22"/>
          <w:lang w:eastAsia="de-AT"/>
        </w:rPr>
        <w:softHyphen/>
      </w:r>
      <w:r w:rsidRPr="00F939A3">
        <w:rPr>
          <w:rFonts w:ascii="Calibri" w:hAnsi="Calibri" w:cs="Calibri"/>
          <w:bCs/>
          <w:sz w:val="22"/>
          <w:szCs w:val="22"/>
          <w:lang w:eastAsia="de-AT"/>
        </w:rPr>
        <w:t>spornen</w:t>
      </w:r>
      <w:r w:rsidR="0035741F" w:rsidRPr="00F939A3">
        <w:rPr>
          <w:rFonts w:ascii="Calibri" w:hAnsi="Calibri" w:cs="Calibri"/>
          <w:bCs/>
          <w:sz w:val="22"/>
          <w:szCs w:val="22"/>
          <w:lang w:eastAsia="de-AT"/>
        </w:rPr>
        <w:t>,</w:t>
      </w:r>
      <w:r w:rsidRPr="00F939A3">
        <w:rPr>
          <w:rFonts w:ascii="Calibri" w:hAnsi="Calibri" w:cs="Calibri"/>
          <w:bCs/>
          <w:sz w:val="22"/>
          <w:szCs w:val="22"/>
          <w:lang w:eastAsia="de-AT"/>
        </w:rPr>
        <w:t xml:space="preserve"> visionär an Zukunftsmodellen mitzuarbeiten. Für das dazu erforderliche kritische Verständnis von technischen und gesellschaftlichen Prozessen bieten wir deshalb eine Plattform für Reflexion und Diskurs, die von der Idee der Nachhaltigkeit geleitet ist. </w:t>
      </w:r>
      <w:r w:rsidR="00D03361" w:rsidRPr="00F939A3">
        <w:rPr>
          <w:rFonts w:ascii="Calibri" w:hAnsi="Calibri" w:cs="Calibri"/>
          <w:bCs/>
          <w:sz w:val="22"/>
          <w:szCs w:val="22"/>
          <w:lang w:eastAsia="de-AT"/>
        </w:rPr>
        <w:t xml:space="preserve">Als Rahmendefinition orientieren wir uns dazu an den von den Vereinten Nationen (UN) verabschiedeten Sustainable Development Goals (kurz SDGs). </w:t>
      </w:r>
    </w:p>
    <w:p w14:paraId="688E32D8" w14:textId="1ADD8500" w:rsidR="00F939A3" w:rsidRDefault="00F939A3" w:rsidP="0035741F">
      <w:pPr>
        <w:jc w:val="both"/>
        <w:rPr>
          <w:rFonts w:ascii="Calibri" w:hAnsi="Calibri" w:cs="Calibri"/>
          <w:bCs/>
          <w:sz w:val="22"/>
          <w:szCs w:val="22"/>
          <w:lang w:eastAsia="de-AT"/>
        </w:rPr>
      </w:pPr>
    </w:p>
    <w:p w14:paraId="055F209C" w14:textId="0D9C364B" w:rsidR="00D03361" w:rsidRPr="00F939A3" w:rsidRDefault="00F939A3" w:rsidP="0063427E">
      <w:pPr>
        <w:jc w:val="both"/>
        <w:rPr>
          <w:rFonts w:ascii="Calibri" w:hAnsi="Calibri" w:cs="Calibri"/>
          <w:bCs/>
          <w:sz w:val="22"/>
          <w:szCs w:val="22"/>
          <w:lang w:eastAsia="de-AT"/>
        </w:rPr>
      </w:pPr>
      <w:r w:rsidRPr="006F0FDA">
        <w:rPr>
          <w:rFonts w:ascii="Calibri" w:hAnsi="Calibri" w:cs="Calibri"/>
          <w:noProof/>
          <w:lang w:eastAsia="de-AT"/>
        </w:rPr>
        <w:drawing>
          <wp:anchor distT="0" distB="0" distL="114300" distR="114300" simplePos="0" relativeHeight="251659264" behindDoc="0" locked="0" layoutInCell="1" allowOverlap="1" wp14:anchorId="2F20A366" wp14:editId="00E476DD">
            <wp:simplePos x="0" y="0"/>
            <wp:positionH relativeFrom="margin">
              <wp:posOffset>1884680</wp:posOffset>
            </wp:positionH>
            <wp:positionV relativeFrom="paragraph">
              <wp:posOffset>19685</wp:posOffset>
            </wp:positionV>
            <wp:extent cx="4199255" cy="25361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9255" cy="253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361" w:rsidRPr="00F939A3">
        <w:rPr>
          <w:rFonts w:ascii="Calibri" w:hAnsi="Calibri" w:cs="Calibri"/>
          <w:bCs/>
          <w:sz w:val="22"/>
          <w:szCs w:val="22"/>
          <w:lang w:eastAsia="de-AT"/>
        </w:rPr>
        <w:t>Dabei handelt es sich um eine weltweit empfohlene Agenda für nachhaltige Entwicklung bis 2030, in der 17 Ziele mit ökologischen, ökonomischen und sozialen Handlungsfeldern definiert wurden</w:t>
      </w:r>
      <w:r w:rsidR="006537B6" w:rsidRPr="00F939A3">
        <w:rPr>
          <w:rFonts w:ascii="Calibri" w:hAnsi="Calibri" w:cs="Calibri"/>
          <w:bCs/>
          <w:sz w:val="22"/>
          <w:szCs w:val="22"/>
          <w:lang w:eastAsia="de-AT"/>
        </w:rPr>
        <w:t>, die das Technische Museum Wien</w:t>
      </w:r>
      <w:r w:rsidR="000B5C99" w:rsidRPr="00F939A3">
        <w:rPr>
          <w:rFonts w:ascii="Calibri" w:hAnsi="Calibri" w:cs="Calibri"/>
          <w:bCs/>
          <w:sz w:val="22"/>
          <w:szCs w:val="22"/>
          <w:lang w:eastAsia="de-AT"/>
        </w:rPr>
        <w:t xml:space="preserve"> mit seinen Objekten und seiner Expertise verknüpft, um kri</w:t>
      </w:r>
      <w:r w:rsidR="007D6CE7">
        <w:rPr>
          <w:rFonts w:ascii="Calibri" w:hAnsi="Calibri" w:cs="Calibri"/>
          <w:bCs/>
          <w:sz w:val="22"/>
          <w:szCs w:val="22"/>
          <w:lang w:eastAsia="de-AT"/>
        </w:rPr>
        <w:softHyphen/>
      </w:r>
      <w:r w:rsidR="000B5C99" w:rsidRPr="00F939A3">
        <w:rPr>
          <w:rFonts w:ascii="Calibri" w:hAnsi="Calibri" w:cs="Calibri"/>
          <w:bCs/>
          <w:sz w:val="22"/>
          <w:szCs w:val="22"/>
          <w:lang w:eastAsia="de-AT"/>
        </w:rPr>
        <w:t>tische Denkanstöße und auf</w:t>
      </w:r>
      <w:r w:rsidR="00227F7A">
        <w:rPr>
          <w:rFonts w:ascii="Calibri" w:hAnsi="Calibri" w:cs="Calibri"/>
          <w:bCs/>
          <w:sz w:val="22"/>
          <w:szCs w:val="22"/>
          <w:lang w:eastAsia="de-AT"/>
        </w:rPr>
        <w:softHyphen/>
      </w:r>
      <w:r w:rsidR="000B5C99" w:rsidRPr="00F939A3">
        <w:rPr>
          <w:rFonts w:ascii="Calibri" w:hAnsi="Calibri" w:cs="Calibri"/>
          <w:bCs/>
          <w:sz w:val="22"/>
          <w:szCs w:val="22"/>
          <w:lang w:eastAsia="de-AT"/>
        </w:rPr>
        <w:t xml:space="preserve">schlussreiche Perspektiven zu bieten. </w:t>
      </w:r>
    </w:p>
    <w:p w14:paraId="019523EB" w14:textId="518FA7C4" w:rsidR="006537B6" w:rsidRDefault="006537B6" w:rsidP="0035741F">
      <w:pPr>
        <w:jc w:val="both"/>
        <w:rPr>
          <w:rFonts w:ascii="Calibri" w:hAnsi="Calibri" w:cs="Calibri"/>
          <w:bCs/>
          <w:lang w:eastAsia="de-AT"/>
        </w:rPr>
      </w:pPr>
    </w:p>
    <w:p w14:paraId="6202AF2E" w14:textId="784C9BEF" w:rsidR="007A3FFD" w:rsidRDefault="007A3FFD" w:rsidP="0035741F">
      <w:pPr>
        <w:jc w:val="both"/>
        <w:rPr>
          <w:rFonts w:ascii="Calibri" w:hAnsi="Calibri" w:cs="Calibri"/>
          <w:bCs/>
          <w:sz w:val="48"/>
          <w:szCs w:val="48"/>
          <w:lang w:eastAsia="de-AT"/>
        </w:rPr>
      </w:pPr>
    </w:p>
    <w:p w14:paraId="459184CB" w14:textId="77777777" w:rsidR="007D6CE7" w:rsidRDefault="007D6CE7">
      <w:pPr>
        <w:rPr>
          <w:rFonts w:ascii="Calibri" w:hAnsi="Calibri" w:cs="Calibri"/>
          <w:b/>
          <w:sz w:val="22"/>
          <w:szCs w:val="22"/>
          <w:lang w:eastAsia="de-AT"/>
        </w:rPr>
      </w:pPr>
      <w:r>
        <w:rPr>
          <w:rFonts w:ascii="Calibri" w:hAnsi="Calibri" w:cs="Calibri"/>
          <w:b/>
          <w:sz w:val="22"/>
          <w:szCs w:val="22"/>
          <w:lang w:eastAsia="de-AT"/>
        </w:rPr>
        <w:br w:type="page"/>
      </w:r>
    </w:p>
    <w:p w14:paraId="64064F65" w14:textId="10C08A97" w:rsidR="007A3FFD" w:rsidRPr="003A4FA1" w:rsidRDefault="00D03361" w:rsidP="0035741F">
      <w:pPr>
        <w:jc w:val="both"/>
        <w:rPr>
          <w:rFonts w:ascii="Calibri" w:hAnsi="Calibri" w:cs="Calibri"/>
          <w:b/>
          <w:sz w:val="22"/>
          <w:szCs w:val="22"/>
          <w:lang w:eastAsia="de-AT"/>
        </w:rPr>
      </w:pPr>
      <w:r w:rsidRPr="003A4FA1">
        <w:rPr>
          <w:rFonts w:ascii="Calibri" w:hAnsi="Calibri" w:cs="Calibri"/>
          <w:b/>
          <w:sz w:val="22"/>
          <w:szCs w:val="22"/>
          <w:lang w:eastAsia="de-AT"/>
        </w:rPr>
        <w:lastRenderedPageBreak/>
        <w:t>Innovation</w:t>
      </w:r>
    </w:p>
    <w:p w14:paraId="25FFB5C3" w14:textId="4FDDA64F" w:rsidR="00D03361" w:rsidRPr="003A4FA1" w:rsidRDefault="00D03361" w:rsidP="0035741F">
      <w:pPr>
        <w:jc w:val="both"/>
        <w:rPr>
          <w:rFonts w:ascii="Calibri" w:hAnsi="Calibri" w:cs="Calibri"/>
          <w:bCs/>
          <w:sz w:val="22"/>
          <w:szCs w:val="22"/>
          <w:lang w:eastAsia="de-AT"/>
        </w:rPr>
      </w:pPr>
      <w:r w:rsidRPr="003A4FA1">
        <w:rPr>
          <w:rFonts w:ascii="Calibri" w:hAnsi="Calibri" w:cs="Calibri"/>
          <w:bCs/>
          <w:sz w:val="22"/>
          <w:szCs w:val="22"/>
          <w:lang w:eastAsia="de-AT"/>
        </w:rPr>
        <w:t>Innovation stellen wir ins Zentrum unseres Handelns: Wir wollen nicht nur den öffentlichen Diskurs über technische Entwicklungen und ihre Wechselwirkungen mit der Gesellschaft anregen, sondern zukunfts</w:t>
      </w:r>
      <w:r w:rsidR="00933362">
        <w:rPr>
          <w:rFonts w:ascii="Calibri" w:hAnsi="Calibri" w:cs="Calibri"/>
          <w:bCs/>
          <w:sz w:val="22"/>
          <w:szCs w:val="22"/>
          <w:lang w:eastAsia="de-AT"/>
        </w:rPr>
        <w:softHyphen/>
      </w:r>
      <w:r w:rsidRPr="003A4FA1">
        <w:rPr>
          <w:rFonts w:ascii="Calibri" w:hAnsi="Calibri" w:cs="Calibri"/>
          <w:bCs/>
          <w:sz w:val="22"/>
          <w:szCs w:val="22"/>
          <w:lang w:eastAsia="de-AT"/>
        </w:rPr>
        <w:t>weisende Kompetenzen und Begeisterung für den MINT-Bereich fördern.</w:t>
      </w:r>
    </w:p>
    <w:p w14:paraId="5DECB7BB" w14:textId="77777777" w:rsidR="00D03361" w:rsidRPr="003A4FA1" w:rsidRDefault="00D03361" w:rsidP="0035741F">
      <w:pPr>
        <w:jc w:val="both"/>
        <w:rPr>
          <w:rFonts w:ascii="Calibri" w:hAnsi="Calibri" w:cs="Calibri"/>
          <w:bCs/>
          <w:sz w:val="22"/>
          <w:szCs w:val="22"/>
          <w:lang w:eastAsia="de-AT"/>
        </w:rPr>
      </w:pPr>
    </w:p>
    <w:p w14:paraId="423D88E3" w14:textId="534EAE0D" w:rsidR="007A3FFD" w:rsidRPr="003A4FA1" w:rsidRDefault="00D03361" w:rsidP="0035741F">
      <w:pPr>
        <w:jc w:val="both"/>
        <w:rPr>
          <w:rFonts w:ascii="Calibri" w:hAnsi="Calibri" w:cs="Calibri"/>
          <w:b/>
          <w:sz w:val="22"/>
          <w:szCs w:val="22"/>
          <w:lang w:eastAsia="de-AT"/>
        </w:rPr>
      </w:pPr>
      <w:r w:rsidRPr="003A4FA1">
        <w:rPr>
          <w:rFonts w:ascii="Calibri" w:hAnsi="Calibri" w:cs="Calibri"/>
          <w:b/>
          <w:sz w:val="22"/>
          <w:szCs w:val="22"/>
          <w:lang w:eastAsia="de-AT"/>
        </w:rPr>
        <w:t>Verankerung in Gegenwart und Zukunft</w:t>
      </w:r>
    </w:p>
    <w:p w14:paraId="5D515C1F" w14:textId="2D33EF43" w:rsidR="00D03361" w:rsidRPr="003A4FA1" w:rsidRDefault="00D03361" w:rsidP="0035741F">
      <w:pPr>
        <w:jc w:val="both"/>
        <w:rPr>
          <w:rFonts w:ascii="Calibri" w:hAnsi="Calibri" w:cs="Calibri"/>
          <w:bCs/>
          <w:sz w:val="22"/>
          <w:szCs w:val="22"/>
          <w:lang w:eastAsia="de-AT"/>
        </w:rPr>
      </w:pPr>
      <w:r w:rsidRPr="003A4FA1">
        <w:rPr>
          <w:rFonts w:ascii="Calibri" w:hAnsi="Calibri" w:cs="Calibri"/>
          <w:bCs/>
          <w:sz w:val="22"/>
          <w:szCs w:val="22"/>
          <w:lang w:eastAsia="de-AT"/>
        </w:rPr>
        <w:t>Durch die immer schneller werdenden wissenschaftlichen und gesellschaftlichen Veränderungen muss auch der Museumsbegriff viel stärker in der Gegenwart und Zukunft verankert werden. Aktuelle Frage</w:t>
      </w:r>
      <w:r w:rsidR="002842C9">
        <w:rPr>
          <w:rFonts w:ascii="Calibri" w:hAnsi="Calibri" w:cs="Calibri"/>
          <w:bCs/>
          <w:sz w:val="22"/>
          <w:szCs w:val="22"/>
          <w:lang w:eastAsia="de-AT"/>
        </w:rPr>
        <w:softHyphen/>
      </w:r>
      <w:r w:rsidRPr="003A4FA1">
        <w:rPr>
          <w:rFonts w:ascii="Calibri" w:hAnsi="Calibri" w:cs="Calibri"/>
          <w:bCs/>
          <w:sz w:val="22"/>
          <w:szCs w:val="22"/>
          <w:lang w:eastAsia="de-AT"/>
        </w:rPr>
        <w:t>stellungen werden in Kontext mit historischen Objekten gesetzt und vertiefen somit das Grundverständnis von technischen und gesellschaftspolitischen Prozessen und relativieren Zukunfts- und Technikängste. Als Ort der Begegnung und des Austauschs bieten wir außerdem eine Plattform für kritische Reflexion und visionäre Entwicklungsstrategien.</w:t>
      </w:r>
    </w:p>
    <w:p w14:paraId="1547ED47" w14:textId="77777777" w:rsidR="00D03361" w:rsidRPr="003A4FA1" w:rsidRDefault="00D03361" w:rsidP="0035741F">
      <w:pPr>
        <w:jc w:val="both"/>
        <w:rPr>
          <w:rFonts w:ascii="Calibri" w:hAnsi="Calibri" w:cs="Calibri"/>
          <w:bCs/>
          <w:sz w:val="22"/>
          <w:szCs w:val="22"/>
          <w:lang w:eastAsia="de-AT"/>
        </w:rPr>
      </w:pPr>
    </w:p>
    <w:p w14:paraId="3BF4A959" w14:textId="0C7818E5" w:rsidR="007A3FFD" w:rsidRPr="003A4FA1" w:rsidRDefault="00D03361" w:rsidP="0035741F">
      <w:pPr>
        <w:jc w:val="both"/>
        <w:rPr>
          <w:rFonts w:ascii="Calibri" w:hAnsi="Calibri" w:cs="Calibri"/>
          <w:b/>
          <w:sz w:val="22"/>
          <w:szCs w:val="22"/>
          <w:lang w:eastAsia="de-AT"/>
        </w:rPr>
      </w:pPr>
      <w:r w:rsidRPr="003A4FA1">
        <w:rPr>
          <w:rFonts w:ascii="Calibri" w:hAnsi="Calibri" w:cs="Calibri"/>
          <w:b/>
          <w:sz w:val="22"/>
          <w:szCs w:val="22"/>
          <w:lang w:eastAsia="de-AT"/>
        </w:rPr>
        <w:t>Zugang und Teilhabe</w:t>
      </w:r>
    </w:p>
    <w:p w14:paraId="0366725F" w14:textId="1DA41CE1" w:rsidR="00D03361" w:rsidRPr="003A4FA1" w:rsidRDefault="00D03361" w:rsidP="0035741F">
      <w:pPr>
        <w:jc w:val="both"/>
        <w:rPr>
          <w:rFonts w:ascii="Calibri" w:hAnsi="Calibri" w:cs="Calibri"/>
          <w:bCs/>
          <w:sz w:val="22"/>
          <w:szCs w:val="22"/>
          <w:lang w:eastAsia="de-AT"/>
        </w:rPr>
      </w:pPr>
      <w:r w:rsidRPr="003A4FA1">
        <w:rPr>
          <w:rFonts w:ascii="Calibri" w:hAnsi="Calibri" w:cs="Calibri"/>
          <w:bCs/>
          <w:sz w:val="22"/>
          <w:szCs w:val="22"/>
          <w:lang w:eastAsia="de-AT"/>
        </w:rPr>
        <w:t>Um breite gesellschaftliche Teilhabe zu ermöglichen, entwickelt das Technische Museum Wien mobile Vermittlungsformate und intensiviert seine Aktivitäten in der Online-Vermittlung. Sozioökonomisch benachteiligte Gruppen wollen wir durch interaktive und partizipative Kooperationsformate erreichen.</w:t>
      </w:r>
    </w:p>
    <w:p w14:paraId="0C3E551F" w14:textId="77777777" w:rsidR="00D03361" w:rsidRPr="003A4FA1" w:rsidRDefault="00D03361" w:rsidP="0035741F">
      <w:pPr>
        <w:jc w:val="both"/>
        <w:rPr>
          <w:rFonts w:ascii="Calibri" w:hAnsi="Calibri" w:cs="Calibri"/>
          <w:bCs/>
          <w:sz w:val="22"/>
          <w:szCs w:val="22"/>
          <w:lang w:eastAsia="de-AT"/>
        </w:rPr>
      </w:pPr>
    </w:p>
    <w:p w14:paraId="0D426F34" w14:textId="515A235A" w:rsidR="007A3FFD" w:rsidRPr="003A4FA1" w:rsidRDefault="00D03361" w:rsidP="0035741F">
      <w:pPr>
        <w:jc w:val="both"/>
        <w:rPr>
          <w:rFonts w:ascii="Calibri" w:hAnsi="Calibri" w:cs="Calibri"/>
          <w:b/>
          <w:sz w:val="22"/>
          <w:szCs w:val="22"/>
          <w:lang w:eastAsia="de-AT"/>
        </w:rPr>
      </w:pPr>
      <w:r w:rsidRPr="003A4FA1">
        <w:rPr>
          <w:rFonts w:ascii="Calibri" w:hAnsi="Calibri" w:cs="Calibri"/>
          <w:b/>
          <w:sz w:val="22"/>
          <w:szCs w:val="22"/>
          <w:lang w:eastAsia="de-AT"/>
        </w:rPr>
        <w:t>Internationale Perspektive</w:t>
      </w:r>
    </w:p>
    <w:p w14:paraId="4E5438FD" w14:textId="7EC601DD" w:rsidR="00D03361" w:rsidRPr="003A4FA1" w:rsidRDefault="00D03361" w:rsidP="0035741F">
      <w:pPr>
        <w:jc w:val="both"/>
        <w:rPr>
          <w:rFonts w:ascii="Calibri" w:hAnsi="Calibri" w:cs="Calibri"/>
          <w:bCs/>
          <w:sz w:val="22"/>
          <w:szCs w:val="22"/>
          <w:lang w:eastAsia="de-AT"/>
        </w:rPr>
      </w:pPr>
      <w:r w:rsidRPr="003A4FA1">
        <w:rPr>
          <w:rFonts w:ascii="Calibri" w:hAnsi="Calibri" w:cs="Calibri"/>
          <w:bCs/>
          <w:sz w:val="22"/>
          <w:szCs w:val="22"/>
          <w:lang w:eastAsia="de-AT"/>
        </w:rPr>
        <w:t>In einer globalisierten Welt benötigen zukunftsweisende gesellschaftliche Themen eine international vernetzte Denkweise. Forschungs- und Ausstellungsprojekte erfahren im Rahmen von Kooperationen eine klare internationale Ausrichtung.</w:t>
      </w:r>
    </w:p>
    <w:p w14:paraId="7F90FBF1" w14:textId="77777777" w:rsidR="00F939A3" w:rsidRPr="003A4FA1" w:rsidRDefault="00F939A3" w:rsidP="0035741F">
      <w:pPr>
        <w:jc w:val="both"/>
        <w:rPr>
          <w:rFonts w:ascii="Calibri" w:hAnsi="Calibri" w:cs="Calibri"/>
          <w:b/>
          <w:sz w:val="22"/>
          <w:szCs w:val="22"/>
          <w:lang w:eastAsia="de-AT"/>
        </w:rPr>
      </w:pPr>
    </w:p>
    <w:p w14:paraId="1D09DA6D" w14:textId="5D8C2138" w:rsidR="007A3FFD" w:rsidRPr="003A4FA1" w:rsidRDefault="00D03361" w:rsidP="0035741F">
      <w:pPr>
        <w:jc w:val="both"/>
        <w:rPr>
          <w:rFonts w:ascii="Calibri" w:hAnsi="Calibri" w:cs="Calibri"/>
          <w:b/>
          <w:sz w:val="22"/>
          <w:szCs w:val="22"/>
          <w:lang w:eastAsia="de-AT"/>
        </w:rPr>
      </w:pPr>
      <w:r w:rsidRPr="003A4FA1">
        <w:rPr>
          <w:rFonts w:ascii="Calibri" w:hAnsi="Calibri" w:cs="Calibri"/>
          <w:b/>
          <w:sz w:val="22"/>
          <w:szCs w:val="22"/>
          <w:lang w:eastAsia="de-AT"/>
        </w:rPr>
        <w:t xml:space="preserve">Genderinformiertes </w:t>
      </w:r>
      <w:r w:rsidR="006C70B7">
        <w:rPr>
          <w:rFonts w:ascii="Calibri" w:hAnsi="Calibri" w:cs="Calibri"/>
          <w:b/>
          <w:sz w:val="22"/>
          <w:szCs w:val="22"/>
          <w:lang w:eastAsia="de-AT"/>
        </w:rPr>
        <w:t>Handeln</w:t>
      </w:r>
    </w:p>
    <w:p w14:paraId="7AD9485C" w14:textId="0C9C8C23" w:rsidR="00D03361" w:rsidRPr="003A4FA1" w:rsidRDefault="00D03361" w:rsidP="0035741F">
      <w:pPr>
        <w:jc w:val="both"/>
        <w:rPr>
          <w:rFonts w:ascii="Calibri" w:hAnsi="Calibri" w:cs="Calibri"/>
          <w:bCs/>
          <w:sz w:val="22"/>
          <w:szCs w:val="22"/>
          <w:lang w:eastAsia="de-AT"/>
        </w:rPr>
      </w:pPr>
      <w:r w:rsidRPr="003A4FA1">
        <w:rPr>
          <w:rFonts w:ascii="Calibri" w:hAnsi="Calibri" w:cs="Calibri"/>
          <w:bCs/>
          <w:sz w:val="22"/>
          <w:szCs w:val="22"/>
          <w:lang w:eastAsia="de-AT"/>
        </w:rPr>
        <w:t>Das Technische Museum Wien sieht es als eine seiner maßgeblichen Aufgaben, einen Beitrag zum Gleich</w:t>
      </w:r>
      <w:r w:rsidR="002842C9">
        <w:rPr>
          <w:rFonts w:ascii="Calibri" w:hAnsi="Calibri" w:cs="Calibri"/>
          <w:bCs/>
          <w:sz w:val="22"/>
          <w:szCs w:val="22"/>
          <w:lang w:eastAsia="de-AT"/>
        </w:rPr>
        <w:softHyphen/>
      </w:r>
      <w:r w:rsidRPr="003A4FA1">
        <w:rPr>
          <w:rFonts w:ascii="Calibri" w:hAnsi="Calibri" w:cs="Calibri"/>
          <w:bCs/>
          <w:sz w:val="22"/>
          <w:szCs w:val="22"/>
          <w:lang w:eastAsia="de-AT"/>
        </w:rPr>
        <w:t xml:space="preserve">gewicht der Geschlechter in Naturwissenschaften und Technik zu leisten und die Dekonstruktion von Stereotypen </w:t>
      </w:r>
      <w:r w:rsidR="00BA5842">
        <w:rPr>
          <w:rFonts w:ascii="Calibri" w:hAnsi="Calibri" w:cs="Calibri"/>
          <w:bCs/>
          <w:sz w:val="22"/>
          <w:szCs w:val="22"/>
          <w:lang w:eastAsia="de-AT"/>
        </w:rPr>
        <w:t>vor</w:t>
      </w:r>
      <w:r w:rsidRPr="003A4FA1">
        <w:rPr>
          <w:rFonts w:ascii="Calibri" w:hAnsi="Calibri" w:cs="Calibri"/>
          <w:bCs/>
          <w:sz w:val="22"/>
          <w:szCs w:val="22"/>
          <w:lang w:eastAsia="de-AT"/>
        </w:rPr>
        <w:t>anzutreiben.</w:t>
      </w:r>
      <w:r w:rsidR="00F939A3" w:rsidRPr="003A4FA1">
        <w:rPr>
          <w:rFonts w:ascii="Calibri" w:hAnsi="Calibri" w:cs="Calibri"/>
          <w:bCs/>
          <w:sz w:val="22"/>
          <w:szCs w:val="22"/>
          <w:lang w:eastAsia="de-AT"/>
        </w:rPr>
        <w:t xml:space="preserve"> Diesem Bekenntnis wird sowohl in der Sammlungsstrategie, in den Ausstellungs- und Vermittlungskonzepten als auch im operativen Betrieb Rechnung getragen.</w:t>
      </w:r>
    </w:p>
    <w:p w14:paraId="683B923F" w14:textId="77777777" w:rsidR="00D03361" w:rsidRPr="003A4FA1" w:rsidRDefault="00D03361" w:rsidP="0035741F">
      <w:pPr>
        <w:jc w:val="both"/>
        <w:outlineLvl w:val="1"/>
        <w:rPr>
          <w:rFonts w:ascii="Calibri" w:hAnsi="Calibri" w:cs="Calibri"/>
          <w:bCs/>
          <w:sz w:val="22"/>
          <w:szCs w:val="22"/>
          <w:lang w:eastAsia="de-AT"/>
        </w:rPr>
      </w:pPr>
    </w:p>
    <w:p w14:paraId="3C2C3BEB" w14:textId="1B31EDDA" w:rsidR="00552D2B" w:rsidRPr="003A4FA1" w:rsidRDefault="00552D2B" w:rsidP="0035741F">
      <w:pPr>
        <w:jc w:val="both"/>
        <w:rPr>
          <w:rFonts w:ascii="Calibri" w:hAnsi="Calibri" w:cs="Calibri"/>
          <w:bCs/>
          <w:sz w:val="22"/>
          <w:szCs w:val="22"/>
          <w:lang w:eastAsia="de-AT"/>
        </w:rPr>
      </w:pPr>
    </w:p>
    <w:p w14:paraId="182E88C2" w14:textId="16F82F6E" w:rsidR="00A13C55" w:rsidRPr="003A4FA1" w:rsidRDefault="00606CF8" w:rsidP="0035741F">
      <w:pPr>
        <w:jc w:val="both"/>
        <w:rPr>
          <w:rFonts w:ascii="Calibri" w:hAnsi="Calibri" w:cs="Arial"/>
          <w:b/>
          <w:sz w:val="22"/>
          <w:szCs w:val="22"/>
        </w:rPr>
      </w:pPr>
      <w:r w:rsidRPr="003A4FA1">
        <w:rPr>
          <w:rFonts w:ascii="Calibri" w:hAnsi="Calibri" w:cs="Arial"/>
          <w:b/>
          <w:sz w:val="22"/>
          <w:szCs w:val="22"/>
        </w:rPr>
        <w:t>Presse-Kontakt:</w:t>
      </w:r>
    </w:p>
    <w:p w14:paraId="6182174A" w14:textId="77777777" w:rsidR="0053231B" w:rsidRPr="00103AAE" w:rsidRDefault="0053231B" w:rsidP="0053231B">
      <w:pPr>
        <w:jc w:val="both"/>
        <w:rPr>
          <w:rFonts w:ascii="Calibri" w:hAnsi="Calibri" w:cs="Arial"/>
          <w:sz w:val="22"/>
          <w:szCs w:val="22"/>
        </w:rPr>
      </w:pPr>
      <w:r w:rsidRPr="00103AAE">
        <w:rPr>
          <w:rFonts w:ascii="Calibri" w:hAnsi="Calibri" w:cs="Arial"/>
          <w:sz w:val="22"/>
          <w:szCs w:val="22"/>
        </w:rPr>
        <w:t>Madeleine Pillwatsch</w:t>
      </w:r>
    </w:p>
    <w:p w14:paraId="56C45D1B" w14:textId="77777777" w:rsidR="0053231B" w:rsidRPr="00103AAE" w:rsidRDefault="0053231B" w:rsidP="0053231B">
      <w:pPr>
        <w:jc w:val="both"/>
        <w:rPr>
          <w:rFonts w:ascii="Calibri" w:hAnsi="Calibri" w:cs="Arial"/>
          <w:sz w:val="22"/>
          <w:szCs w:val="22"/>
        </w:rPr>
      </w:pPr>
      <w:r w:rsidRPr="00103AAE">
        <w:rPr>
          <w:rFonts w:ascii="Calibri" w:hAnsi="Calibri" w:cs="Arial"/>
          <w:sz w:val="22"/>
          <w:szCs w:val="22"/>
        </w:rPr>
        <w:t>Technisches Museum Wien</w:t>
      </w:r>
    </w:p>
    <w:p w14:paraId="4634ABE0" w14:textId="77777777" w:rsidR="0053231B" w:rsidRPr="00103AAE" w:rsidRDefault="0053231B" w:rsidP="0053231B">
      <w:pPr>
        <w:jc w:val="both"/>
        <w:rPr>
          <w:rFonts w:ascii="Calibri" w:hAnsi="Calibri" w:cs="Arial"/>
          <w:sz w:val="22"/>
          <w:szCs w:val="22"/>
        </w:rPr>
      </w:pPr>
      <w:r w:rsidRPr="00103AAE">
        <w:rPr>
          <w:rFonts w:ascii="Calibri" w:hAnsi="Calibri" w:cs="Arial"/>
          <w:sz w:val="22"/>
          <w:szCs w:val="22"/>
        </w:rPr>
        <w:t>Mariahilfer Straße 212, 1140 Wien</w:t>
      </w:r>
    </w:p>
    <w:p w14:paraId="6DB28CC2" w14:textId="77777777" w:rsidR="0053231B" w:rsidRPr="00103AAE" w:rsidRDefault="0053231B" w:rsidP="0053231B">
      <w:pPr>
        <w:jc w:val="both"/>
        <w:rPr>
          <w:rFonts w:ascii="Calibri" w:hAnsi="Calibri" w:cs="Arial"/>
          <w:sz w:val="22"/>
          <w:szCs w:val="22"/>
        </w:rPr>
      </w:pPr>
      <w:r w:rsidRPr="00103AAE">
        <w:rPr>
          <w:rFonts w:ascii="Calibri" w:hAnsi="Calibri" w:cs="Arial"/>
          <w:sz w:val="22"/>
          <w:szCs w:val="22"/>
        </w:rPr>
        <w:t>Tel. 01/899 98-1200</w:t>
      </w:r>
    </w:p>
    <w:p w14:paraId="75CEED41" w14:textId="77777777" w:rsidR="0053231B" w:rsidRPr="00103AAE" w:rsidRDefault="0053231B" w:rsidP="0053231B">
      <w:pPr>
        <w:jc w:val="both"/>
        <w:rPr>
          <w:rFonts w:ascii="Calibri" w:hAnsi="Calibri" w:cs="Arial"/>
          <w:sz w:val="22"/>
          <w:szCs w:val="22"/>
        </w:rPr>
      </w:pPr>
      <w:r w:rsidRPr="00103AAE">
        <w:rPr>
          <w:rFonts w:ascii="Calibri" w:hAnsi="Calibri" w:cs="Arial"/>
          <w:sz w:val="22"/>
          <w:szCs w:val="22"/>
        </w:rPr>
        <w:t>presse@tmw.at</w:t>
      </w:r>
    </w:p>
    <w:p w14:paraId="1E70BD58" w14:textId="77777777" w:rsidR="0053231B" w:rsidRPr="00103AAE" w:rsidRDefault="0053231B" w:rsidP="0053231B">
      <w:pPr>
        <w:jc w:val="both"/>
        <w:rPr>
          <w:rFonts w:ascii="Calibri" w:hAnsi="Calibri" w:cs="Arial"/>
          <w:sz w:val="22"/>
          <w:szCs w:val="22"/>
        </w:rPr>
      </w:pPr>
      <w:r w:rsidRPr="00103AAE">
        <w:rPr>
          <w:rFonts w:ascii="Calibri" w:hAnsi="Calibri" w:cs="Arial"/>
          <w:sz w:val="22"/>
          <w:szCs w:val="22"/>
        </w:rPr>
        <w:t>www.technischesmuseum.at/presse</w:t>
      </w:r>
    </w:p>
    <w:p w14:paraId="6B2FCB27" w14:textId="661C8DA4" w:rsidR="00FC3FE6" w:rsidRPr="003A4FA1" w:rsidRDefault="0053231B" w:rsidP="0053231B">
      <w:pPr>
        <w:jc w:val="both"/>
        <w:rPr>
          <w:rFonts w:ascii="Calibri" w:hAnsi="Calibri" w:cs="Arial"/>
          <w:sz w:val="22"/>
          <w:szCs w:val="22"/>
        </w:rPr>
      </w:pPr>
      <w:r w:rsidRPr="00103AAE">
        <w:rPr>
          <w:rFonts w:ascii="Calibri" w:hAnsi="Calibri" w:cs="Arial"/>
          <w:sz w:val="22"/>
          <w:szCs w:val="22"/>
        </w:rPr>
        <w:t>https://twitter.com/tmwpress</w:t>
      </w:r>
    </w:p>
    <w:sectPr w:rsidR="00FC3FE6" w:rsidRPr="003A4FA1" w:rsidSect="00ED41CD">
      <w:headerReference w:type="default" r:id="rId9"/>
      <w:footerReference w:type="default" r:id="rId10"/>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A731" w14:textId="77777777" w:rsidR="007D60BE" w:rsidRDefault="007D60BE">
      <w:r>
        <w:separator/>
      </w:r>
    </w:p>
  </w:endnote>
  <w:endnote w:type="continuationSeparator" w:id="0">
    <w:p w14:paraId="792FB2BA" w14:textId="77777777" w:rsidR="007D60BE" w:rsidRDefault="007D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56893"/>
      <w:docPartObj>
        <w:docPartGallery w:val="Page Numbers (Bottom of Page)"/>
        <w:docPartUnique/>
      </w:docPartObj>
    </w:sdtPr>
    <w:sdtEndPr>
      <w:rPr>
        <w:rFonts w:ascii="Calibri" w:hAnsi="Calibri" w:cs="Calibri"/>
        <w:sz w:val="22"/>
        <w:szCs w:val="22"/>
      </w:rPr>
    </w:sdtEndPr>
    <w:sdtContent>
      <w:p w14:paraId="16AFC281" w14:textId="3F7BCC4F" w:rsidR="007D60BE" w:rsidRPr="006B2BF0" w:rsidRDefault="006B2BF0" w:rsidP="006B2BF0">
        <w:pPr>
          <w:pStyle w:val="Fuzeile"/>
          <w:jc w:val="center"/>
          <w:rPr>
            <w:rFonts w:ascii="Calibri" w:hAnsi="Calibri" w:cs="Calibri"/>
            <w:sz w:val="22"/>
            <w:szCs w:val="22"/>
          </w:rPr>
        </w:pPr>
        <w:r w:rsidRPr="006B2BF0">
          <w:rPr>
            <w:rFonts w:ascii="Calibri" w:hAnsi="Calibri" w:cs="Calibri"/>
            <w:sz w:val="22"/>
            <w:szCs w:val="22"/>
          </w:rPr>
          <w:fldChar w:fldCharType="begin"/>
        </w:r>
        <w:r w:rsidRPr="006B2BF0">
          <w:rPr>
            <w:rFonts w:ascii="Calibri" w:hAnsi="Calibri" w:cs="Calibri"/>
            <w:sz w:val="22"/>
            <w:szCs w:val="22"/>
          </w:rPr>
          <w:instrText>PAGE   \* MERGEFORMAT</w:instrText>
        </w:r>
        <w:r w:rsidRPr="006B2BF0">
          <w:rPr>
            <w:rFonts w:ascii="Calibri" w:hAnsi="Calibri" w:cs="Calibri"/>
            <w:sz w:val="22"/>
            <w:szCs w:val="22"/>
          </w:rPr>
          <w:fldChar w:fldCharType="separate"/>
        </w:r>
        <w:r w:rsidRPr="006B2BF0">
          <w:rPr>
            <w:rFonts w:ascii="Calibri" w:hAnsi="Calibri" w:cs="Calibri"/>
            <w:sz w:val="22"/>
            <w:szCs w:val="22"/>
            <w:lang w:val="de-DE"/>
          </w:rPr>
          <w:t>2</w:t>
        </w:r>
        <w:r w:rsidRPr="006B2BF0">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7AEB" w14:textId="77777777" w:rsidR="007D60BE" w:rsidRDefault="007D60BE">
      <w:r>
        <w:separator/>
      </w:r>
    </w:p>
  </w:footnote>
  <w:footnote w:type="continuationSeparator" w:id="0">
    <w:p w14:paraId="343C2BDF" w14:textId="77777777" w:rsidR="007D60BE" w:rsidRDefault="007D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BB" w14:textId="0F5813BA" w:rsidR="007D60BE" w:rsidRDefault="007F0DAE" w:rsidP="001D4E3D">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761FDF29" wp14:editId="39DD230B">
          <wp:simplePos x="0" y="0"/>
          <wp:positionH relativeFrom="margin">
            <wp:align>right</wp:align>
          </wp:positionH>
          <wp:positionV relativeFrom="paragraph">
            <wp:posOffset>-149225</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r w:rsidR="007D60BE"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00652E78" wp14:editId="44B46632">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6E0CD158" w14:textId="3D09B73D" w:rsidR="007D60BE" w:rsidRPr="00606CF8" w:rsidRDefault="00652401">
                          <w:pPr>
                            <w:rPr>
                              <w:rFonts w:ascii="Calibri" w:hAnsi="Calibri"/>
                              <w:b/>
                              <w:sz w:val="56"/>
                              <w:szCs w:val="56"/>
                            </w:rPr>
                          </w:pPr>
                          <w:r>
                            <w:rPr>
                              <w:rFonts w:ascii="Calibri" w:hAnsi="Calibri"/>
                              <w:b/>
                              <w:sz w:val="48"/>
                              <w:szCs w:val="48"/>
                            </w:rPr>
                            <w:t>Leitbild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52E78"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6E0CD158" w14:textId="3D09B73D" w:rsidR="007D60BE" w:rsidRPr="00606CF8" w:rsidRDefault="00652401">
                    <w:pPr>
                      <w:rPr>
                        <w:rFonts w:ascii="Calibri" w:hAnsi="Calibri"/>
                        <w:b/>
                        <w:sz w:val="56"/>
                        <w:szCs w:val="56"/>
                      </w:rPr>
                    </w:pPr>
                    <w:r>
                      <w:rPr>
                        <w:rFonts w:ascii="Calibri" w:hAnsi="Calibri"/>
                        <w:b/>
                        <w:sz w:val="48"/>
                        <w:szCs w:val="48"/>
                      </w:rPr>
                      <w:t>Leitbild</w:t>
                    </w:r>
                  </w:p>
                </w:txbxContent>
              </v:textbox>
              <w10:wrap type="square" anchorx="margin"/>
            </v:shape>
          </w:pict>
        </mc:Fallback>
      </mc:AlternateContent>
    </w:r>
    <w:r w:rsidR="007D60BE">
      <w:rPr>
        <w:noProof/>
        <w:lang w:eastAsia="de-AT"/>
      </w:rPr>
      <mc:AlternateContent>
        <mc:Choice Requires="wps">
          <w:drawing>
            <wp:anchor distT="0" distB="0" distL="114300" distR="114300" simplePos="0" relativeHeight="251658240" behindDoc="0" locked="0" layoutInCell="1" allowOverlap="1" wp14:anchorId="57C15345" wp14:editId="2EA474C1">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729B3" w14:textId="77777777" w:rsidR="007D60BE" w:rsidRDefault="007D60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15345"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21729B3" w14:textId="77777777" w:rsidR="007D60BE" w:rsidRDefault="007D60BE"/>
                </w:txbxContent>
              </v:textbox>
            </v:shape>
          </w:pict>
        </mc:Fallback>
      </mc:AlternateContent>
    </w:r>
  </w:p>
  <w:p w14:paraId="60B3D78A" w14:textId="49245518" w:rsidR="007D60BE" w:rsidRDefault="007D60BE" w:rsidP="0012229C">
    <w:pPr>
      <w:pStyle w:val="Kopfzeile"/>
      <w:rPr>
        <w:sz w:val="12"/>
        <w:szCs w:val="12"/>
      </w:rPr>
    </w:pPr>
  </w:p>
  <w:p w14:paraId="6E60C0A4" w14:textId="31764BDD" w:rsidR="007D60BE" w:rsidRDefault="007D60BE" w:rsidP="0012229C">
    <w:pPr>
      <w:pStyle w:val="Kopfzeile"/>
      <w:rPr>
        <w:sz w:val="12"/>
        <w:szCs w:val="12"/>
      </w:rPr>
    </w:pPr>
  </w:p>
  <w:p w14:paraId="10CB48EB" w14:textId="77777777" w:rsidR="007D60BE" w:rsidRPr="006B0ADD" w:rsidRDefault="007D60BE"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E6300"/>
    <w:multiLevelType w:val="hybridMultilevel"/>
    <w:tmpl w:val="8A185A6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6AE2672"/>
    <w:multiLevelType w:val="hybridMultilevel"/>
    <w:tmpl w:val="C69E4A6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4941248">
    <w:abstractNumId w:val="4"/>
  </w:num>
  <w:num w:numId="2" w16cid:durableId="352271225">
    <w:abstractNumId w:val="1"/>
  </w:num>
  <w:num w:numId="3" w16cid:durableId="1955096317">
    <w:abstractNumId w:val="0"/>
  </w:num>
  <w:num w:numId="4" w16cid:durableId="362101230">
    <w:abstractNumId w:val="3"/>
  </w:num>
  <w:num w:numId="5" w16cid:durableId="1316565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47F1C"/>
    <w:rsid w:val="0005074E"/>
    <w:rsid w:val="00052446"/>
    <w:rsid w:val="000537D2"/>
    <w:rsid w:val="0007680C"/>
    <w:rsid w:val="00077ECF"/>
    <w:rsid w:val="000A5F6E"/>
    <w:rsid w:val="000B00E8"/>
    <w:rsid w:val="000B5C99"/>
    <w:rsid w:val="000B7F8D"/>
    <w:rsid w:val="000F2944"/>
    <w:rsid w:val="0011171E"/>
    <w:rsid w:val="0012229C"/>
    <w:rsid w:val="00124892"/>
    <w:rsid w:val="001523B3"/>
    <w:rsid w:val="00155136"/>
    <w:rsid w:val="00164753"/>
    <w:rsid w:val="00172F3F"/>
    <w:rsid w:val="00175A9F"/>
    <w:rsid w:val="0018224F"/>
    <w:rsid w:val="00184369"/>
    <w:rsid w:val="001979B0"/>
    <w:rsid w:val="001A682C"/>
    <w:rsid w:val="001B29A8"/>
    <w:rsid w:val="001B618E"/>
    <w:rsid w:val="001B7421"/>
    <w:rsid w:val="001D173B"/>
    <w:rsid w:val="001D182C"/>
    <w:rsid w:val="001D4E3D"/>
    <w:rsid w:val="001F266C"/>
    <w:rsid w:val="001F6988"/>
    <w:rsid w:val="001F7855"/>
    <w:rsid w:val="0020241F"/>
    <w:rsid w:val="00206466"/>
    <w:rsid w:val="00206B66"/>
    <w:rsid w:val="00211E0C"/>
    <w:rsid w:val="00213562"/>
    <w:rsid w:val="0021734A"/>
    <w:rsid w:val="00222393"/>
    <w:rsid w:val="00227F7A"/>
    <w:rsid w:val="002310CE"/>
    <w:rsid w:val="00235F44"/>
    <w:rsid w:val="0023652E"/>
    <w:rsid w:val="002634A0"/>
    <w:rsid w:val="00284280"/>
    <w:rsid w:val="002842C9"/>
    <w:rsid w:val="00291EFA"/>
    <w:rsid w:val="002A681A"/>
    <w:rsid w:val="002D2B91"/>
    <w:rsid w:val="002D2C24"/>
    <w:rsid w:val="002D42AB"/>
    <w:rsid w:val="00312C8C"/>
    <w:rsid w:val="00317A8A"/>
    <w:rsid w:val="00330F5F"/>
    <w:rsid w:val="003327E2"/>
    <w:rsid w:val="0035240B"/>
    <w:rsid w:val="00356D63"/>
    <w:rsid w:val="0035741F"/>
    <w:rsid w:val="003635CB"/>
    <w:rsid w:val="0036474E"/>
    <w:rsid w:val="003A4FA1"/>
    <w:rsid w:val="003A5175"/>
    <w:rsid w:val="003A6BDB"/>
    <w:rsid w:val="003B44D6"/>
    <w:rsid w:val="003C1F56"/>
    <w:rsid w:val="003C4014"/>
    <w:rsid w:val="003C7304"/>
    <w:rsid w:val="003D5A2A"/>
    <w:rsid w:val="003E47F7"/>
    <w:rsid w:val="003F5E43"/>
    <w:rsid w:val="004011F9"/>
    <w:rsid w:val="0044719A"/>
    <w:rsid w:val="004521E0"/>
    <w:rsid w:val="004551F2"/>
    <w:rsid w:val="00465E8A"/>
    <w:rsid w:val="00482563"/>
    <w:rsid w:val="00494428"/>
    <w:rsid w:val="004B58E4"/>
    <w:rsid w:val="004C636F"/>
    <w:rsid w:val="004D54C1"/>
    <w:rsid w:val="004D6BE6"/>
    <w:rsid w:val="004E26B2"/>
    <w:rsid w:val="004E3402"/>
    <w:rsid w:val="004E68EE"/>
    <w:rsid w:val="004F27D7"/>
    <w:rsid w:val="00500CEA"/>
    <w:rsid w:val="00500E82"/>
    <w:rsid w:val="00503A4A"/>
    <w:rsid w:val="00514599"/>
    <w:rsid w:val="00516DF3"/>
    <w:rsid w:val="00531773"/>
    <w:rsid w:val="0053231B"/>
    <w:rsid w:val="00552D2B"/>
    <w:rsid w:val="00563837"/>
    <w:rsid w:val="0057297A"/>
    <w:rsid w:val="00585251"/>
    <w:rsid w:val="00594DE5"/>
    <w:rsid w:val="005B405B"/>
    <w:rsid w:val="005D0CDA"/>
    <w:rsid w:val="005D5978"/>
    <w:rsid w:val="005D7E6E"/>
    <w:rsid w:val="00604431"/>
    <w:rsid w:val="00606CF8"/>
    <w:rsid w:val="006079AA"/>
    <w:rsid w:val="00607D1E"/>
    <w:rsid w:val="006107BD"/>
    <w:rsid w:val="00610C14"/>
    <w:rsid w:val="00614400"/>
    <w:rsid w:val="00615D24"/>
    <w:rsid w:val="00617AAC"/>
    <w:rsid w:val="00623E5F"/>
    <w:rsid w:val="00624977"/>
    <w:rsid w:val="00631366"/>
    <w:rsid w:val="00633DB4"/>
    <w:rsid w:val="0063427E"/>
    <w:rsid w:val="00645A25"/>
    <w:rsid w:val="0064706C"/>
    <w:rsid w:val="00652401"/>
    <w:rsid w:val="006537B6"/>
    <w:rsid w:val="006636B2"/>
    <w:rsid w:val="00665FD9"/>
    <w:rsid w:val="00666467"/>
    <w:rsid w:val="006A0ED5"/>
    <w:rsid w:val="006B0ADD"/>
    <w:rsid w:val="006B2BF0"/>
    <w:rsid w:val="006B2C6A"/>
    <w:rsid w:val="006B5321"/>
    <w:rsid w:val="006B780B"/>
    <w:rsid w:val="006C254B"/>
    <w:rsid w:val="006C3194"/>
    <w:rsid w:val="006C70B7"/>
    <w:rsid w:val="006E0276"/>
    <w:rsid w:val="006E7D32"/>
    <w:rsid w:val="006F0B97"/>
    <w:rsid w:val="006F6368"/>
    <w:rsid w:val="00705FE0"/>
    <w:rsid w:val="00720D68"/>
    <w:rsid w:val="00721F07"/>
    <w:rsid w:val="007228B8"/>
    <w:rsid w:val="00741A7A"/>
    <w:rsid w:val="0076021F"/>
    <w:rsid w:val="00766015"/>
    <w:rsid w:val="00772513"/>
    <w:rsid w:val="00783CFD"/>
    <w:rsid w:val="007A3FFD"/>
    <w:rsid w:val="007A7BE1"/>
    <w:rsid w:val="007B59EC"/>
    <w:rsid w:val="007C0619"/>
    <w:rsid w:val="007D0A1C"/>
    <w:rsid w:val="007D5C0A"/>
    <w:rsid w:val="007D60BE"/>
    <w:rsid w:val="007D6CE7"/>
    <w:rsid w:val="007E301C"/>
    <w:rsid w:val="007E4C1E"/>
    <w:rsid w:val="007E7DA0"/>
    <w:rsid w:val="007F0DAE"/>
    <w:rsid w:val="007F7279"/>
    <w:rsid w:val="00803202"/>
    <w:rsid w:val="00814CCE"/>
    <w:rsid w:val="00826040"/>
    <w:rsid w:val="008574E3"/>
    <w:rsid w:val="0086541B"/>
    <w:rsid w:val="0088360D"/>
    <w:rsid w:val="00885A05"/>
    <w:rsid w:val="008862FA"/>
    <w:rsid w:val="00887DB5"/>
    <w:rsid w:val="008D6BF6"/>
    <w:rsid w:val="00910ACC"/>
    <w:rsid w:val="00910D06"/>
    <w:rsid w:val="00922EAE"/>
    <w:rsid w:val="00924ECF"/>
    <w:rsid w:val="00931443"/>
    <w:rsid w:val="00933362"/>
    <w:rsid w:val="009351AF"/>
    <w:rsid w:val="00946CB1"/>
    <w:rsid w:val="00964E82"/>
    <w:rsid w:val="00965BDB"/>
    <w:rsid w:val="00982E7A"/>
    <w:rsid w:val="00984DBE"/>
    <w:rsid w:val="009958E4"/>
    <w:rsid w:val="009B696F"/>
    <w:rsid w:val="009B77DD"/>
    <w:rsid w:val="009C5ED0"/>
    <w:rsid w:val="009D2365"/>
    <w:rsid w:val="009E2CD5"/>
    <w:rsid w:val="009E5CE9"/>
    <w:rsid w:val="00A11184"/>
    <w:rsid w:val="00A13C55"/>
    <w:rsid w:val="00A4556E"/>
    <w:rsid w:val="00A461C7"/>
    <w:rsid w:val="00A47A39"/>
    <w:rsid w:val="00A6716F"/>
    <w:rsid w:val="00A8392A"/>
    <w:rsid w:val="00A94151"/>
    <w:rsid w:val="00AA0DB9"/>
    <w:rsid w:val="00AA41DA"/>
    <w:rsid w:val="00AA5FCC"/>
    <w:rsid w:val="00AB3D6C"/>
    <w:rsid w:val="00AC2945"/>
    <w:rsid w:val="00AD5B00"/>
    <w:rsid w:val="00AD6758"/>
    <w:rsid w:val="00B13A12"/>
    <w:rsid w:val="00B1724C"/>
    <w:rsid w:val="00B21EBE"/>
    <w:rsid w:val="00B237F6"/>
    <w:rsid w:val="00B264FC"/>
    <w:rsid w:val="00B43868"/>
    <w:rsid w:val="00B74B03"/>
    <w:rsid w:val="00B83A2A"/>
    <w:rsid w:val="00BA5842"/>
    <w:rsid w:val="00BA694E"/>
    <w:rsid w:val="00BB6820"/>
    <w:rsid w:val="00BC3FCF"/>
    <w:rsid w:val="00BC5AB5"/>
    <w:rsid w:val="00BF3EDB"/>
    <w:rsid w:val="00C00BC3"/>
    <w:rsid w:val="00C11A4B"/>
    <w:rsid w:val="00C30A35"/>
    <w:rsid w:val="00C33C8F"/>
    <w:rsid w:val="00C42AED"/>
    <w:rsid w:val="00C502B4"/>
    <w:rsid w:val="00C632B6"/>
    <w:rsid w:val="00CB65D6"/>
    <w:rsid w:val="00CC0F66"/>
    <w:rsid w:val="00CD11B1"/>
    <w:rsid w:val="00CD4765"/>
    <w:rsid w:val="00CE39BC"/>
    <w:rsid w:val="00CE6041"/>
    <w:rsid w:val="00CF0C8B"/>
    <w:rsid w:val="00D03361"/>
    <w:rsid w:val="00D37626"/>
    <w:rsid w:val="00D410E6"/>
    <w:rsid w:val="00D50864"/>
    <w:rsid w:val="00D55DF2"/>
    <w:rsid w:val="00D764D5"/>
    <w:rsid w:val="00D96E91"/>
    <w:rsid w:val="00DB21EF"/>
    <w:rsid w:val="00DC262D"/>
    <w:rsid w:val="00DC4253"/>
    <w:rsid w:val="00DC482C"/>
    <w:rsid w:val="00DE2F21"/>
    <w:rsid w:val="00DF210B"/>
    <w:rsid w:val="00DF33F7"/>
    <w:rsid w:val="00DF75E7"/>
    <w:rsid w:val="00E02421"/>
    <w:rsid w:val="00E10713"/>
    <w:rsid w:val="00E32495"/>
    <w:rsid w:val="00E40FBB"/>
    <w:rsid w:val="00E536C3"/>
    <w:rsid w:val="00E63140"/>
    <w:rsid w:val="00E755E9"/>
    <w:rsid w:val="00E87996"/>
    <w:rsid w:val="00E919F2"/>
    <w:rsid w:val="00EC6EF9"/>
    <w:rsid w:val="00ED41CD"/>
    <w:rsid w:val="00EE7542"/>
    <w:rsid w:val="00EF43F7"/>
    <w:rsid w:val="00F22999"/>
    <w:rsid w:val="00F303FF"/>
    <w:rsid w:val="00F50C8B"/>
    <w:rsid w:val="00F73C8C"/>
    <w:rsid w:val="00F87F56"/>
    <w:rsid w:val="00F939A3"/>
    <w:rsid w:val="00F96C47"/>
    <w:rsid w:val="00F978B6"/>
    <w:rsid w:val="00FB269B"/>
    <w:rsid w:val="00FB42A2"/>
    <w:rsid w:val="00FC3FE6"/>
    <w:rsid w:val="00FD74D9"/>
    <w:rsid w:val="00FE00A9"/>
    <w:rsid w:val="00FF300A"/>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59D2C2FB"/>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 w:type="character" w:styleId="Hervorhebung">
    <w:name w:val="Emphasis"/>
    <w:basedOn w:val="Absatz-Standardschriftart"/>
    <w:uiPriority w:val="20"/>
    <w:qFormat/>
    <w:rsid w:val="00356D63"/>
    <w:rPr>
      <w:i/>
      <w:iCs/>
    </w:rPr>
  </w:style>
  <w:style w:type="paragraph" w:styleId="Textkrper">
    <w:name w:val="Body Text"/>
    <w:basedOn w:val="Standard"/>
    <w:link w:val="TextkrperZchn"/>
    <w:uiPriority w:val="1"/>
    <w:qFormat/>
    <w:rsid w:val="00A47A39"/>
    <w:pPr>
      <w:widowControl w:val="0"/>
      <w:autoSpaceDE w:val="0"/>
      <w:autoSpaceDN w:val="0"/>
      <w:ind w:left="216"/>
      <w:jc w:val="both"/>
    </w:pPr>
    <w:rPr>
      <w:rFonts w:ascii="Arial" w:eastAsia="Arial" w:hAnsi="Arial" w:cs="Arial"/>
      <w:lang w:val="de-DE" w:eastAsia="en-US"/>
    </w:rPr>
  </w:style>
  <w:style w:type="character" w:customStyle="1" w:styleId="TextkrperZchn">
    <w:name w:val="Textkörper Zchn"/>
    <w:basedOn w:val="Absatz-Standardschriftart"/>
    <w:link w:val="Textkrper"/>
    <w:uiPriority w:val="1"/>
    <w:rsid w:val="00A47A39"/>
    <w:rPr>
      <w:rFonts w:ascii="Arial" w:eastAsia="Arial" w:hAnsi="Arial" w:cs="Arial"/>
      <w:sz w:val="24"/>
      <w:szCs w:val="24"/>
      <w:lang w:val="de-DE" w:eastAsia="en-US"/>
    </w:rPr>
  </w:style>
  <w:style w:type="character" w:styleId="Kommentarzeichen">
    <w:name w:val="annotation reference"/>
    <w:basedOn w:val="Absatz-Standardschriftart"/>
    <w:uiPriority w:val="99"/>
    <w:semiHidden/>
    <w:unhideWhenUsed/>
    <w:rsid w:val="007D60BE"/>
    <w:rPr>
      <w:sz w:val="16"/>
      <w:szCs w:val="16"/>
    </w:rPr>
  </w:style>
  <w:style w:type="paragraph" w:styleId="Kommentartext">
    <w:name w:val="annotation text"/>
    <w:basedOn w:val="Standard"/>
    <w:link w:val="KommentartextZchn"/>
    <w:uiPriority w:val="99"/>
    <w:semiHidden/>
    <w:unhideWhenUsed/>
    <w:rsid w:val="007D60BE"/>
    <w:rPr>
      <w:sz w:val="20"/>
      <w:szCs w:val="20"/>
    </w:rPr>
  </w:style>
  <w:style w:type="character" w:customStyle="1" w:styleId="KommentartextZchn">
    <w:name w:val="Kommentartext Zchn"/>
    <w:basedOn w:val="Absatz-Standardschriftart"/>
    <w:link w:val="Kommentartext"/>
    <w:uiPriority w:val="99"/>
    <w:semiHidden/>
    <w:rsid w:val="007D60BE"/>
    <w:rPr>
      <w:rFonts w:ascii="Verdana" w:hAnsi="Verdana"/>
      <w:lang w:eastAsia="de-DE"/>
    </w:rPr>
  </w:style>
  <w:style w:type="paragraph" w:styleId="Kommentarthema">
    <w:name w:val="annotation subject"/>
    <w:basedOn w:val="Kommentartext"/>
    <w:next w:val="Kommentartext"/>
    <w:link w:val="KommentarthemaZchn"/>
    <w:semiHidden/>
    <w:unhideWhenUsed/>
    <w:rsid w:val="007D60BE"/>
    <w:rPr>
      <w:b/>
      <w:bCs/>
    </w:rPr>
  </w:style>
  <w:style w:type="character" w:customStyle="1" w:styleId="KommentarthemaZchn">
    <w:name w:val="Kommentarthema Zchn"/>
    <w:basedOn w:val="KommentartextZchn"/>
    <w:link w:val="Kommentarthema"/>
    <w:semiHidden/>
    <w:rsid w:val="007D60BE"/>
    <w:rPr>
      <w:rFonts w:ascii="Verdana" w:hAnsi="Verdana"/>
      <w:b/>
      <w:bCs/>
      <w:lang w:eastAsia="de-DE"/>
    </w:rPr>
  </w:style>
  <w:style w:type="character" w:customStyle="1" w:styleId="avtext">
    <w:name w:val="avtext"/>
    <w:basedOn w:val="Absatz-Standardschriftart"/>
    <w:rsid w:val="0065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C093-AF4A-42CB-8229-6932740A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3638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4111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19</cp:revision>
  <cp:lastPrinted>2019-10-14T10:01:00Z</cp:lastPrinted>
  <dcterms:created xsi:type="dcterms:W3CDTF">2022-01-14T11:15:00Z</dcterms:created>
  <dcterms:modified xsi:type="dcterms:W3CDTF">2023-01-24T10:25:00Z</dcterms:modified>
</cp:coreProperties>
</file>